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ct87bwvdcfe5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Las expectativas realistas pueden salvar tu matrimonio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La promesa de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 amarse «en riqueza y en pobreza» es posible si las parejas se sinceran antes de casarse.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abundancia y la escasez son parte importante de los votos de los novios. ¿Por qué? La respuesta es que las dificultades económicas erosionan las relaciones matrimoniales.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Según expertos, el dinero es una de las principales causas de divorcio. </w:t>
      </w:r>
      <w:r w:rsidDel="00000000" w:rsidR="00000000" w:rsidRPr="00000000">
        <w:rPr>
          <w:sz w:val="24"/>
          <w:szCs w:val="24"/>
          <w:rtl w:val="0"/>
        </w:rPr>
        <w:t xml:space="preserve">La buena noticia es que tu familia no tiene por qué acabar así.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Análisis franco de la situación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 es la historia de</w:t>
      </w:r>
      <w:r w:rsidDel="00000000" w:rsidR="00000000" w:rsidRPr="00000000">
        <w:rPr>
          <w:sz w:val="24"/>
          <w:szCs w:val="24"/>
          <w:rtl w:val="0"/>
        </w:rPr>
        <w:t xml:space="preserve"> Carlos y María, una pareja que me marcó profundamente. Antes de casarse, hablaron acerca de lo que consideraban básico para «vivir dignamente».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Compararon ingresos con el costo del estilo de vida que querían e hicieron una lista de sueños financieros a mediano y largo plazo. Entonces, surgieron las diferencias. 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quería comprar un departamento YA, mientras que para María no era una prioridad. ¿Cómo lo solucionaron? Rentaron con opción a compra futura.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María quería muebles de lujo y Carlos no quería comenzar con deudas. ¿La solución? Ella aceptó ahorrar hasta tener el dinero.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Como sus ingresos no coincidían con sus deseos, ambos ajustaron expectativas. Hoy, llevan quince años casados y son prósperos y felices.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 fórmula secreta tenía seis elementos: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Honestidad total.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Apertura para negociar.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Diferenciar necesidades de deseos.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Lista conjunta de prioridades.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Flexibilidad en la implementación.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Trabajo en equipo siempre.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el amor sin un plan financiero es una fantasía. La prosperidad integral empieza con conversaciones incómodas, pero necesarias.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